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7DF8" w14:textId="77777777" w:rsidR="00CB052B" w:rsidRPr="00693EF0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Asignatura: Educación Tecnológica</w:t>
      </w:r>
      <w:r>
        <w:rPr>
          <w:b/>
          <w:bCs/>
          <w:sz w:val="24"/>
          <w:szCs w:val="24"/>
          <w:lang w:val="es-ES"/>
        </w:rPr>
        <w:t xml:space="preserve"> 3º Año</w:t>
      </w:r>
    </w:p>
    <w:p w14:paraId="0F9C4E84" w14:textId="77777777" w:rsidR="00CB052B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Profesor: Alcides Verdún</w:t>
      </w:r>
    </w:p>
    <w:p w14:paraId="1AD9FAC8" w14:textId="77777777" w:rsidR="00CB052B" w:rsidRDefault="00CB052B">
      <w:pPr>
        <w:rPr>
          <w:b/>
          <w:bCs/>
          <w:sz w:val="24"/>
          <w:szCs w:val="24"/>
        </w:rPr>
      </w:pPr>
    </w:p>
    <w:p w14:paraId="2EDFB294" w14:textId="2359C4BF" w:rsidR="00CB052B" w:rsidRDefault="00CB052B" w:rsidP="00CB052B">
      <w:pPr>
        <w:rPr>
          <w:b/>
          <w:bCs/>
          <w:sz w:val="24"/>
          <w:szCs w:val="24"/>
        </w:rPr>
      </w:pPr>
      <w:r w:rsidRPr="00CB052B">
        <w:rPr>
          <w:b/>
          <w:bCs/>
          <w:sz w:val="24"/>
          <w:szCs w:val="24"/>
        </w:rPr>
        <w:t>El código de barras</w:t>
      </w:r>
    </w:p>
    <w:p w14:paraId="45DD8A76" w14:textId="77777777" w:rsidR="00CB052B" w:rsidRPr="00CB052B" w:rsidRDefault="00CB052B" w:rsidP="00CB052B">
      <w:pPr>
        <w:rPr>
          <w:b/>
          <w:bCs/>
          <w:sz w:val="24"/>
          <w:szCs w:val="24"/>
        </w:rPr>
      </w:pPr>
    </w:p>
    <w:p w14:paraId="3FE3DBFB" w14:textId="77777777" w:rsid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Los códigos de barras del estándar GS1 (EAN-UCC) son abiertos y globales, esto quiere decir que pueden ser leídos durante cualquiera de los procesos de la cadena comercial, no sólo en Argentina sino en cualquier parte del mundo.</w:t>
      </w:r>
    </w:p>
    <w:p w14:paraId="582E21C3" w14:textId="77777777" w:rsid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Un producto que posee un código de barras estándar es identificado de manera única a nivel mundial. Por esto cuando hablamos del sistema GS1, hablamos de un estándar internacional.</w:t>
      </w:r>
    </w:p>
    <w:p w14:paraId="4665EE90" w14:textId="437770C6" w:rsidR="00CB052B" w:rsidRP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El aporte de la implementación de códigos de barras para todos los socios comerciales consiste en la reducción de costos, ahorrando tiempo e incrementando la exactitud y eficiencia de los procesos en cada momento del ciclo de productos y servicios.</w:t>
      </w:r>
    </w:p>
    <w:p w14:paraId="59168169" w14:textId="5F1597BF" w:rsidR="00CB052B" w:rsidRDefault="00CB052B" w:rsidP="00CB052B">
      <w:pPr>
        <w:jc w:val="both"/>
        <w:rPr>
          <w:sz w:val="24"/>
          <w:szCs w:val="24"/>
        </w:rPr>
      </w:pPr>
    </w:p>
    <w:p w14:paraId="5A6B7425" w14:textId="468A43E7" w:rsid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El código de barras es un código basado en la representación de un conjunto de líneas paralelas de distinto grosor y espaciado que en su conjunto contienen una determinada información, es decir, las barras y espacios del código representan pequeñas cadenas de caracteres. De este modo, el código de barras permite reconocer rápidamente un artículo de forma única, global y no ambigua en un punto de la </w:t>
      </w:r>
      <w:hyperlink r:id="rId7" w:tooltip="Canal de distribución" w:history="1">
        <w:r w:rsidRPr="00CB052B">
          <w:rPr>
            <w:sz w:val="24"/>
            <w:szCs w:val="24"/>
          </w:rPr>
          <w:t>cadena logística</w:t>
        </w:r>
      </w:hyperlink>
      <w:r w:rsidRPr="00CB052B">
        <w:rPr>
          <w:sz w:val="24"/>
          <w:szCs w:val="24"/>
        </w:rPr>
        <w:t> y así poder realizar </w:t>
      </w:r>
      <w:hyperlink r:id="rId8" w:tooltip="Inventario" w:history="1">
        <w:r w:rsidRPr="00CB052B">
          <w:rPr>
            <w:sz w:val="24"/>
            <w:szCs w:val="24"/>
          </w:rPr>
          <w:t>inventario</w:t>
        </w:r>
      </w:hyperlink>
      <w:r w:rsidRPr="00CB052B">
        <w:rPr>
          <w:sz w:val="24"/>
          <w:szCs w:val="24"/>
        </w:rPr>
        <w:t> o consultar sus características asociadas.</w:t>
      </w:r>
    </w:p>
    <w:p w14:paraId="2B036D8C" w14:textId="6FB7372F" w:rsidR="00CB052B" w:rsidRDefault="00CB052B" w:rsidP="005A1887">
      <w:pPr>
        <w:rPr>
          <w:sz w:val="24"/>
          <w:szCs w:val="24"/>
        </w:rPr>
      </w:pPr>
    </w:p>
    <w:p w14:paraId="68A3F23D" w14:textId="3273A08E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>EL SISTEMA EAN</w:t>
      </w:r>
    </w:p>
    <w:p w14:paraId="18E33870" w14:textId="77777777" w:rsidR="00C16F51" w:rsidRPr="00C16F51" w:rsidRDefault="00C16F51" w:rsidP="00C16F51">
      <w:pPr>
        <w:jc w:val="both"/>
        <w:rPr>
          <w:sz w:val="24"/>
          <w:szCs w:val="24"/>
        </w:rPr>
      </w:pPr>
    </w:p>
    <w:p w14:paraId="74910A50" w14:textId="66E42496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>Uno de los sistemas más utilizados para identificar productos comerciales por medio de c</w:t>
      </w:r>
      <w:r w:rsidR="00227262">
        <w:rPr>
          <w:sz w:val="24"/>
          <w:szCs w:val="24"/>
        </w:rPr>
        <w:t>ó</w:t>
      </w:r>
      <w:r w:rsidRPr="00C16F51">
        <w:rPr>
          <w:sz w:val="24"/>
          <w:szCs w:val="24"/>
        </w:rPr>
        <w:t>digos de barra, es el EAN (</w:t>
      </w:r>
      <w:proofErr w:type="spellStart"/>
      <w:r w:rsidRPr="00C16F51">
        <w:rPr>
          <w:sz w:val="24"/>
          <w:szCs w:val="24"/>
        </w:rPr>
        <w:t>European</w:t>
      </w:r>
      <w:proofErr w:type="spellEnd"/>
      <w:r w:rsidRPr="00C16F51">
        <w:rPr>
          <w:sz w:val="24"/>
          <w:szCs w:val="24"/>
        </w:rPr>
        <w:t xml:space="preserve"> </w:t>
      </w:r>
      <w:proofErr w:type="spellStart"/>
      <w:r w:rsidRPr="00C16F51">
        <w:rPr>
          <w:sz w:val="24"/>
          <w:szCs w:val="24"/>
        </w:rPr>
        <w:t>Article</w:t>
      </w:r>
      <w:proofErr w:type="spellEnd"/>
      <w:r w:rsidRPr="00C16F51">
        <w:rPr>
          <w:sz w:val="24"/>
          <w:szCs w:val="24"/>
        </w:rPr>
        <w:t xml:space="preserve"> </w:t>
      </w:r>
      <w:proofErr w:type="spellStart"/>
      <w:r w:rsidRPr="00C16F51">
        <w:rPr>
          <w:sz w:val="24"/>
          <w:szCs w:val="24"/>
        </w:rPr>
        <w:t>Numbering</w:t>
      </w:r>
      <w:proofErr w:type="spellEnd"/>
      <w:r w:rsidRPr="00C16F51">
        <w:rPr>
          <w:sz w:val="24"/>
          <w:szCs w:val="24"/>
        </w:rPr>
        <w:t xml:space="preserve">). Se trata de un estándar internacional, creado en Europa en 1977, que en la actualidad se opera en más de 80 países y es compatible con el sistema Universal </w:t>
      </w:r>
      <w:proofErr w:type="spellStart"/>
      <w:r w:rsidRPr="00C16F51">
        <w:rPr>
          <w:sz w:val="24"/>
          <w:szCs w:val="24"/>
        </w:rPr>
        <w:t>Product</w:t>
      </w:r>
      <w:proofErr w:type="spellEnd"/>
      <w:r w:rsidRPr="00C16F51">
        <w:rPr>
          <w:sz w:val="24"/>
          <w:szCs w:val="24"/>
        </w:rPr>
        <w:t xml:space="preserve"> </w:t>
      </w:r>
      <w:proofErr w:type="spellStart"/>
      <w:r w:rsidRPr="00C16F51">
        <w:rPr>
          <w:sz w:val="24"/>
          <w:szCs w:val="24"/>
        </w:rPr>
        <w:t>Code</w:t>
      </w:r>
      <w:proofErr w:type="spellEnd"/>
      <w:r w:rsidRPr="00C16F51">
        <w:rPr>
          <w:sz w:val="24"/>
          <w:szCs w:val="24"/>
        </w:rPr>
        <w:t xml:space="preserve"> (UPC), utilizado en América del Norte</w:t>
      </w:r>
    </w:p>
    <w:p w14:paraId="7B459E70" w14:textId="77777777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>Las unidades de venta que llevan el símbolo EAN poseen un código de producto único que puede ser leído e identificado en todos los países, mediante equipos de lectura apropiado.</w:t>
      </w:r>
    </w:p>
    <w:p w14:paraId="38DC26CC" w14:textId="1F8A70CA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 xml:space="preserve">EAN INTERNATIONAL, es una asociación con sede en Bélgica que tiene por objeto desarrollar y promover el sistema mundial de identificación de los artículos EAN y hacer respetar las </w:t>
      </w:r>
      <w:r w:rsidR="00227262" w:rsidRPr="00C16F51">
        <w:rPr>
          <w:sz w:val="24"/>
          <w:szCs w:val="24"/>
        </w:rPr>
        <w:t>especificaciones</w:t>
      </w:r>
      <w:r w:rsidRPr="00C16F51">
        <w:rPr>
          <w:sz w:val="24"/>
          <w:szCs w:val="24"/>
        </w:rPr>
        <w:t>, teniendo en cuenta las leyes nacionales y las reglamentaciones internacionales de los países representados.</w:t>
      </w:r>
    </w:p>
    <w:p w14:paraId="0F40180E" w14:textId="77777777" w:rsidR="00C16F51" w:rsidRDefault="00C16F51" w:rsidP="005A1887">
      <w:pPr>
        <w:jc w:val="both"/>
        <w:rPr>
          <w:sz w:val="24"/>
          <w:szCs w:val="24"/>
        </w:rPr>
      </w:pPr>
    </w:p>
    <w:p w14:paraId="3C2F8E2A" w14:textId="656FF854" w:rsidR="00CB052B" w:rsidRPr="005A1887" w:rsidRDefault="00CB052B" w:rsidP="005A1887">
      <w:p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En Argentina, EAN funciona desde 1985. En 1990 sólo había 1850 empresas trabajando con códigos de barra. Actualmente son más de 10.000 y cerca de 300.000 los artículos codificados. Los alimentos constituyen el 50%, aproximadamente, de los códigos registrados.</w:t>
      </w:r>
    </w:p>
    <w:p w14:paraId="67769E62" w14:textId="77777777" w:rsidR="00C16F51" w:rsidRDefault="00C16F51" w:rsidP="005A1887">
      <w:pPr>
        <w:jc w:val="both"/>
        <w:rPr>
          <w:sz w:val="24"/>
          <w:szCs w:val="24"/>
        </w:rPr>
      </w:pPr>
    </w:p>
    <w:p w14:paraId="076DB9E7" w14:textId="3EB2ABD3" w:rsidR="00CB052B" w:rsidRPr="005A1887" w:rsidRDefault="00CB052B" w:rsidP="005A1887">
      <w:p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EAN -13</w:t>
      </w:r>
    </w:p>
    <w:p w14:paraId="178181D3" w14:textId="77777777" w:rsidR="00CB052B" w:rsidRPr="005A1887" w:rsidRDefault="00CB052B" w:rsidP="005A1887">
      <w:p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El sistema EAN-13 es la versión más difundida a nivel mundial:</w:t>
      </w:r>
    </w:p>
    <w:p w14:paraId="5E5E4A40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Consta de un código de 13 cifras, aunque existe una versión corta de 8 posiciones que se utiliza cuando el espacio disponible para la impresión es pequeño.</w:t>
      </w:r>
    </w:p>
    <w:p w14:paraId="625367D8" w14:textId="7639858F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Las tres primeras posiciones que forman el prefijo EAN, ident</w:t>
      </w:r>
      <w:r w:rsidR="005A1887" w:rsidRPr="005A1887">
        <w:rPr>
          <w:sz w:val="24"/>
          <w:szCs w:val="24"/>
        </w:rPr>
        <w:t>i</w:t>
      </w:r>
      <w:r w:rsidRPr="005A1887">
        <w:rPr>
          <w:sz w:val="24"/>
          <w:szCs w:val="24"/>
        </w:rPr>
        <w:t xml:space="preserve">fican la Organización de Codificación de la cual </w:t>
      </w:r>
      <w:r w:rsidR="005A1887" w:rsidRPr="005A1887">
        <w:rPr>
          <w:sz w:val="24"/>
          <w:szCs w:val="24"/>
        </w:rPr>
        <w:t>surge</w:t>
      </w:r>
      <w:r w:rsidRPr="005A1887">
        <w:rPr>
          <w:sz w:val="24"/>
          <w:szCs w:val="24"/>
        </w:rPr>
        <w:t xml:space="preserve"> el número (ej. 779 es Argentina).</w:t>
      </w:r>
    </w:p>
    <w:p w14:paraId="34C3A734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Las cuatro posiciones siguientes corresponden al código de la empresa.</w:t>
      </w:r>
    </w:p>
    <w:p w14:paraId="50F258A5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Los cinco dígitos restantes pueden ser administrados por el fabricante e identifican al producto.</w:t>
      </w:r>
    </w:p>
    <w:p w14:paraId="7C3F9B36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La decimotercera posición es una cifra de control que permite verificar si las cifras precedentes han sido correctamente leídas.</w:t>
      </w:r>
    </w:p>
    <w:p w14:paraId="03E74768" w14:textId="46B14DA5" w:rsidR="00CB052B" w:rsidRDefault="005A1887" w:rsidP="005A1887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D58ABC" wp14:editId="406A293B">
            <wp:extent cx="3435350" cy="271464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3906" r="7475" b="7812"/>
                    <a:stretch/>
                  </pic:blipFill>
                  <pic:spPr bwMode="auto">
                    <a:xfrm>
                      <a:off x="0" y="0"/>
                      <a:ext cx="3457030" cy="27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F5876" w14:textId="498E2C6E" w:rsidR="00C16F51" w:rsidRDefault="00C16F51" w:rsidP="00FD78A6">
      <w:p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Actividades:</w:t>
      </w:r>
    </w:p>
    <w:p w14:paraId="319885DD" w14:textId="0A0CE656" w:rsid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es un código de barra?</w:t>
      </w:r>
    </w:p>
    <w:p w14:paraId="2BED1F06" w14:textId="60F80C2A" w:rsid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es el sistema GS1?</w:t>
      </w:r>
    </w:p>
    <w:p w14:paraId="26F78C1D" w14:textId="4EDC9479" w:rsid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permite reconocer?</w:t>
      </w:r>
    </w:p>
    <w:p w14:paraId="7F38BCDF" w14:textId="56C1D75D" w:rsidR="00C16F51" w:rsidRP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es el sistema EAN 13?</w:t>
      </w:r>
    </w:p>
    <w:p w14:paraId="640279BA" w14:textId="6240EA85" w:rsidR="00FD78A6" w:rsidRPr="00E51213" w:rsidRDefault="00FD78A6" w:rsidP="00FD78A6">
      <w:pPr>
        <w:shd w:val="clear" w:color="auto" w:fill="FFFFFF"/>
        <w:spacing w:before="120" w:after="120" w:line="360" w:lineRule="auto"/>
        <w:rPr>
          <w:i/>
          <w:iCs/>
          <w:sz w:val="24"/>
          <w:szCs w:val="24"/>
          <w:lang w:val="es-ES" w:eastAsia="es-ES"/>
        </w:rPr>
      </w:pPr>
      <w:r w:rsidRPr="00E51213">
        <w:rPr>
          <w:i/>
          <w:iCs/>
          <w:sz w:val="24"/>
          <w:szCs w:val="24"/>
          <w:lang w:val="es-ES" w:eastAsia="es-ES"/>
        </w:rPr>
        <w:t xml:space="preserve">Aclaración: Todas las actividades deben estar en sus carpetas, </w:t>
      </w:r>
      <w:r w:rsidR="00E51213" w:rsidRPr="00E51213">
        <w:rPr>
          <w:i/>
          <w:iCs/>
          <w:sz w:val="24"/>
          <w:szCs w:val="24"/>
          <w:lang w:val="es-ES" w:eastAsia="es-ES"/>
        </w:rPr>
        <w:t>en</w:t>
      </w:r>
      <w:r w:rsidRPr="00E51213">
        <w:rPr>
          <w:i/>
          <w:iCs/>
          <w:sz w:val="24"/>
          <w:szCs w:val="24"/>
          <w:lang w:val="es-ES" w:eastAsia="es-ES"/>
        </w:rPr>
        <w:t xml:space="preserve"> este caso </w:t>
      </w:r>
      <w:r w:rsidRPr="00E51213">
        <w:rPr>
          <w:b/>
          <w:bCs/>
          <w:i/>
          <w:iCs/>
          <w:sz w:val="24"/>
          <w:szCs w:val="24"/>
          <w:lang w:val="es-ES" w:eastAsia="es-ES"/>
        </w:rPr>
        <w:t xml:space="preserve">la actividad6 la deben enviar al </w:t>
      </w:r>
      <w:proofErr w:type="spellStart"/>
      <w:r w:rsidRPr="00E51213">
        <w:rPr>
          <w:b/>
          <w:bCs/>
          <w:i/>
          <w:iCs/>
          <w:sz w:val="24"/>
          <w:szCs w:val="24"/>
          <w:lang w:val="es-ES" w:eastAsia="es-ES"/>
        </w:rPr>
        <w:t>WhatsApps</w:t>
      </w:r>
      <w:proofErr w:type="spellEnd"/>
      <w:r w:rsidRPr="00E51213">
        <w:rPr>
          <w:b/>
          <w:bCs/>
          <w:i/>
          <w:iCs/>
          <w:sz w:val="24"/>
          <w:szCs w:val="24"/>
          <w:lang w:val="es-ES" w:eastAsia="es-ES"/>
        </w:rPr>
        <w:t xml:space="preserve"> 3454-480851. </w:t>
      </w:r>
      <w:r w:rsidRPr="007B1E35">
        <w:rPr>
          <w:b/>
          <w:bCs/>
          <w:i/>
          <w:iCs/>
          <w:color w:val="00B050"/>
          <w:sz w:val="24"/>
          <w:szCs w:val="24"/>
          <w:lang w:val="es-ES" w:eastAsia="es-ES"/>
        </w:rPr>
        <w:t>Fecha límite de entrega Domingo 31 de mayo.</w:t>
      </w:r>
      <w:r w:rsidRPr="007B1E35">
        <w:rPr>
          <w:i/>
          <w:iCs/>
          <w:color w:val="00B050"/>
          <w:sz w:val="24"/>
          <w:szCs w:val="24"/>
          <w:lang w:val="es-ES" w:eastAsia="es-ES"/>
        </w:rPr>
        <w:t xml:space="preserve"> </w:t>
      </w:r>
      <w:r w:rsidRPr="00E51213">
        <w:rPr>
          <w:i/>
          <w:iCs/>
          <w:sz w:val="24"/>
          <w:szCs w:val="24"/>
          <w:lang w:val="es-ES" w:eastAsia="es-ES"/>
        </w:rPr>
        <w:t xml:space="preserve">Las mismas serán retomadas y trabajadas cuando nos reintegremos a las actividades áulicas. Además, deben recurrir a ellas al momento de la autoevaluación. </w:t>
      </w:r>
    </w:p>
    <w:p w14:paraId="4E04B24E" w14:textId="77777777" w:rsidR="00FD78A6" w:rsidRPr="00693EF0" w:rsidRDefault="00FD78A6" w:rsidP="00FD78A6">
      <w:pPr>
        <w:shd w:val="clear" w:color="auto" w:fill="FFFFFF"/>
        <w:spacing w:before="120" w:after="120" w:line="360" w:lineRule="auto"/>
        <w:rPr>
          <w:b/>
          <w:bCs/>
          <w:color w:val="00B050"/>
          <w:sz w:val="24"/>
          <w:szCs w:val="24"/>
          <w:lang w:val="es-ES" w:eastAsia="es-ES"/>
        </w:rPr>
      </w:pPr>
      <w:r w:rsidRPr="00693EF0">
        <w:rPr>
          <w:b/>
          <w:bCs/>
          <w:color w:val="00B050"/>
          <w:sz w:val="24"/>
          <w:szCs w:val="24"/>
          <w:lang w:val="es-ES" w:eastAsia="es-ES"/>
        </w:rPr>
        <w:t>#Nos-cuidamos-entre-todos.</w:t>
      </w:r>
    </w:p>
    <w:p w14:paraId="25393D18" w14:textId="77777777" w:rsidR="00FD78A6" w:rsidRPr="00854863" w:rsidRDefault="00FD78A6" w:rsidP="00FD78A6">
      <w:pPr>
        <w:jc w:val="both"/>
        <w:rPr>
          <w:sz w:val="24"/>
          <w:szCs w:val="24"/>
        </w:rPr>
      </w:pPr>
      <w:r>
        <w:rPr>
          <w:sz w:val="24"/>
          <w:szCs w:val="24"/>
          <w:lang w:val="es-ES" w:eastAsia="es-ES"/>
        </w:rPr>
        <w:t>Saludos Alcides.</w:t>
      </w:r>
    </w:p>
    <w:p w14:paraId="1AFC818B" w14:textId="25C549E1" w:rsidR="00FD78A6" w:rsidRDefault="00FD78A6" w:rsidP="00FD78A6">
      <w:pPr>
        <w:rPr>
          <w:sz w:val="24"/>
          <w:szCs w:val="24"/>
        </w:rPr>
      </w:pPr>
    </w:p>
    <w:p w14:paraId="1CB00D10" w14:textId="28F1EDDD" w:rsidR="00104F97" w:rsidRDefault="00104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A831FE" w14:textId="77777777" w:rsidR="00104F97" w:rsidRDefault="00104F97" w:rsidP="00104F97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Anexo Rubrica de Evaluación</w:t>
      </w:r>
    </w:p>
    <w:p w14:paraId="2792B252" w14:textId="77777777" w:rsidR="00104F97" w:rsidRDefault="00104F97" w:rsidP="00104F97">
      <w:pPr>
        <w:jc w:val="center"/>
        <w:rPr>
          <w:b/>
          <w:bCs/>
          <w:sz w:val="24"/>
          <w:szCs w:val="24"/>
          <w:lang w:val="es-ES"/>
        </w:rPr>
      </w:pPr>
    </w:p>
    <w:p w14:paraId="41CFAD7C" w14:textId="77777777" w:rsidR="00104F97" w:rsidRDefault="00104F97" w:rsidP="00104F97">
      <w:pPr>
        <w:pStyle w:val="NormalWeb"/>
        <w:spacing w:before="0" w:beforeAutospacing="0" w:after="375" w:afterAutospacing="0"/>
        <w:jc w:val="both"/>
        <w:rPr>
          <w:color w:val="0A0A0A"/>
        </w:rPr>
      </w:pPr>
      <w:r>
        <w:rPr>
          <w:color w:val="0A0A0A"/>
        </w:rPr>
        <w:t xml:space="preserve">Dentro de la asignatura aparte de la rúbrica institucional, tomaré la evaluación por portafolios en AVA </w:t>
      </w:r>
      <w:r>
        <w:rPr>
          <w:b/>
          <w:bCs/>
          <w:i/>
          <w:iCs/>
          <w:color w:val="0A0A0A"/>
        </w:rPr>
        <w:t>(Ambientes Virtuales de Aprendizajes)</w:t>
      </w:r>
      <w:r>
        <w:rPr>
          <w:color w:val="0A0A0A"/>
        </w:rPr>
        <w:t xml:space="preserve">. Esta es definida por Jesús Guzmán (2009) como un tipo de evaluación consistente en reunir de manera sistemática y propositiva una muestra de los trabajos y tareas del alumno (ensayos, proyectos, dibujos, trabajos, exámenes, fotos, ejecuciones, videos, etc.) realizados a lo largo del curso para constatar así la evolución y el progreso en su aprendizaje. Teniendo en cuenta conceptos cualitativos. </w:t>
      </w:r>
    </w:p>
    <w:p w14:paraId="573F42A4" w14:textId="3007AA6C" w:rsidR="00104F97" w:rsidRDefault="00104F97" w:rsidP="00104F97">
      <w:pPr>
        <w:jc w:val="center"/>
        <w:rPr>
          <w:b/>
          <w:bCs/>
          <w:sz w:val="24"/>
          <w:szCs w:val="24"/>
          <w:lang w:val="es-ES"/>
        </w:rPr>
      </w:pPr>
      <w:r>
        <w:rPr>
          <w:rFonts w:ascii="Raleway" w:hAnsi="Raleway"/>
          <w:noProof/>
          <w:color w:val="0A0A0A"/>
        </w:rPr>
        <w:drawing>
          <wp:inline distT="0" distB="0" distL="0" distR="0" wp14:anchorId="3A5A6381" wp14:editId="1390AB48">
            <wp:extent cx="6645910" cy="2773680"/>
            <wp:effectExtent l="0" t="0" r="254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C6A31" w14:textId="77777777" w:rsidR="00104F97" w:rsidRDefault="00104F97" w:rsidP="00104F97">
      <w:pPr>
        <w:jc w:val="center"/>
        <w:rPr>
          <w:b/>
          <w:bCs/>
          <w:sz w:val="24"/>
          <w:szCs w:val="24"/>
          <w:lang w:val="es-ES"/>
        </w:rPr>
      </w:pPr>
    </w:p>
    <w:p w14:paraId="78B2A0C1" w14:textId="77777777" w:rsidR="00104F97" w:rsidRDefault="00104F97" w:rsidP="00104F97">
      <w:pPr>
        <w:rPr>
          <w:b/>
          <w:bCs/>
          <w:sz w:val="24"/>
          <w:szCs w:val="24"/>
          <w:lang w:val="es-ES"/>
        </w:rPr>
      </w:pPr>
    </w:p>
    <w:p w14:paraId="643F02F6" w14:textId="77777777" w:rsidR="00104F97" w:rsidRPr="00CB052B" w:rsidRDefault="00104F97" w:rsidP="00FD78A6">
      <w:pPr>
        <w:rPr>
          <w:sz w:val="24"/>
          <w:szCs w:val="24"/>
        </w:rPr>
      </w:pPr>
    </w:p>
    <w:sectPr w:rsidR="00104F97" w:rsidRPr="00CB052B" w:rsidSect="005A188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CF25" w14:textId="77777777" w:rsidR="000A7AE8" w:rsidRDefault="000A7AE8" w:rsidP="00CB052B">
      <w:r>
        <w:separator/>
      </w:r>
    </w:p>
  </w:endnote>
  <w:endnote w:type="continuationSeparator" w:id="0">
    <w:p w14:paraId="58EB7CB2" w14:textId="77777777" w:rsidR="000A7AE8" w:rsidRDefault="000A7AE8" w:rsidP="00C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4E8B" w14:textId="77777777" w:rsidR="000A7AE8" w:rsidRDefault="000A7AE8" w:rsidP="00CB052B">
      <w:r>
        <w:separator/>
      </w:r>
    </w:p>
  </w:footnote>
  <w:footnote w:type="continuationSeparator" w:id="0">
    <w:p w14:paraId="3346F741" w14:textId="77777777" w:rsidR="000A7AE8" w:rsidRDefault="000A7AE8" w:rsidP="00CB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819" w14:textId="5AA79E9D" w:rsidR="00CB052B" w:rsidRDefault="00CB052B" w:rsidP="00CB052B">
    <w:pPr>
      <w:pStyle w:val="Encabezado"/>
      <w:jc w:val="right"/>
    </w:pPr>
    <w:r>
      <w:t xml:space="preserve">E.E.AT. D-100 “Divina Providencia” </w:t>
    </w:r>
    <w:r>
      <w:rPr>
        <w:noProof/>
      </w:rPr>
      <w:drawing>
        <wp:inline distT="0" distB="0" distL="0" distR="0" wp14:anchorId="6B7CC96B" wp14:editId="2D480CA7">
          <wp:extent cx="400050" cy="468808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01" cy="4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61621" w14:textId="77777777" w:rsidR="00CB052B" w:rsidRDefault="00CB0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63F"/>
    <w:multiLevelType w:val="hybridMultilevel"/>
    <w:tmpl w:val="067E83FA"/>
    <w:lvl w:ilvl="0" w:tplc="27DA4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C33"/>
    <w:multiLevelType w:val="hybridMultilevel"/>
    <w:tmpl w:val="FB24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6D9"/>
    <w:multiLevelType w:val="multilevel"/>
    <w:tmpl w:val="45E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B"/>
    <w:rsid w:val="000A7AE8"/>
    <w:rsid w:val="000B1CE7"/>
    <w:rsid w:val="000B2D49"/>
    <w:rsid w:val="00104F97"/>
    <w:rsid w:val="00227262"/>
    <w:rsid w:val="005A1887"/>
    <w:rsid w:val="006B15BC"/>
    <w:rsid w:val="007B1E35"/>
    <w:rsid w:val="008D2089"/>
    <w:rsid w:val="009A4FC5"/>
    <w:rsid w:val="00C16F51"/>
    <w:rsid w:val="00CB052B"/>
    <w:rsid w:val="00E51213"/>
    <w:rsid w:val="00E71F1D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D3A9C"/>
  <w15:chartTrackingRefBased/>
  <w15:docId w15:val="{2943541A-0E7B-4E36-9D7C-7D8CFFF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2B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2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2B"/>
    <w:rPr>
      <w:lang w:val="es-AR"/>
    </w:rPr>
  </w:style>
  <w:style w:type="paragraph" w:customStyle="1" w:styleId="gs1textsytle">
    <w:name w:val="gs1textsytle"/>
    <w:basedOn w:val="Normal"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B0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A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ventar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anal_de_distribuci%C3%B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9</cp:revision>
  <dcterms:created xsi:type="dcterms:W3CDTF">2020-05-17T23:19:00Z</dcterms:created>
  <dcterms:modified xsi:type="dcterms:W3CDTF">2020-05-18T11:13:00Z</dcterms:modified>
</cp:coreProperties>
</file>